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firstLine="640" w:firstLineChars="200"/>
        <w:jc w:val="center"/>
        <w:textAlignment w:val="auto"/>
        <w:rPr>
          <w:rFonts w:ascii="微软雅黑" w:hAnsi="微软雅黑" w:eastAsia="微软雅黑"/>
          <w:b/>
          <w:bCs/>
          <w:sz w:val="32"/>
          <w:szCs w:val="32"/>
        </w:rPr>
      </w:pPr>
      <w:r>
        <w:rPr>
          <w:rFonts w:hint="eastAsia" w:ascii="微软雅黑" w:hAnsi="微软雅黑" w:eastAsia="微软雅黑"/>
          <w:b/>
          <w:bCs/>
          <w:sz w:val="32"/>
          <w:szCs w:val="32"/>
        </w:rPr>
        <w:t>中华人民共和国安全生产法</w:t>
      </w:r>
    </w:p>
    <w:p>
      <w:pPr>
        <w:keepNext w:val="0"/>
        <w:keepLines w:val="0"/>
        <w:pageBreakBefore w:val="0"/>
        <w:kinsoku/>
        <w:wordWrap/>
        <w:overflowPunct/>
        <w:topLinePunct w:val="0"/>
        <w:autoSpaceDE/>
        <w:autoSpaceDN/>
        <w:bidi w:val="0"/>
        <w:adjustRightInd/>
        <w:snapToGrid/>
        <w:spacing w:line="400" w:lineRule="exact"/>
        <w:ind w:firstLine="640" w:firstLineChars="200"/>
        <w:jc w:val="center"/>
        <w:textAlignment w:val="auto"/>
        <w:rPr>
          <w:rFonts w:ascii="微软雅黑" w:hAnsi="微软雅黑" w:eastAsia="微软雅黑"/>
          <w:b/>
          <w:bCs/>
          <w:sz w:val="32"/>
          <w:szCs w:val="32"/>
        </w:rPr>
      </w:pPr>
      <w:r>
        <w:rPr>
          <w:rFonts w:hint="eastAsia" w:ascii="微软雅黑" w:hAnsi="微软雅黑" w:eastAsia="微软雅黑"/>
          <w:b/>
          <w:bCs/>
          <w:sz w:val="32"/>
          <w:szCs w:val="32"/>
        </w:rPr>
        <w:t>（2021年9月1日施行）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微软雅黑" w:hAnsi="微软雅黑" w:eastAsia="微软雅黑"/>
          <w:color w:val="454545"/>
          <w:lang w:val="en-US"/>
        </w:rPr>
      </w:pPr>
      <w:r>
        <w:rPr>
          <w:rFonts w:hint="eastAsia" w:ascii="微软雅黑" w:hAnsi="微软雅黑" w:eastAsia="微软雅黑"/>
          <w:color w:val="454545"/>
          <w:lang w:val="en-US" w:eastAsia="zh-CN"/>
        </w:rPr>
        <w:t>（</w:t>
      </w:r>
      <w:r>
        <w:rPr>
          <w:rFonts w:hint="default" w:ascii="微软雅黑" w:hAnsi="微软雅黑" w:eastAsia="微软雅黑"/>
          <w:color w:val="454545"/>
          <w:lang w:val="en-US" w:eastAsia="zh-CN"/>
        </w:rPr>
        <w:t>2002</w:t>
      </w:r>
      <w:r>
        <w:rPr>
          <w:rFonts w:hint="eastAsia" w:ascii="微软雅黑" w:hAnsi="微软雅黑" w:eastAsia="微软雅黑"/>
          <w:color w:val="454545"/>
          <w:lang w:val="en-US" w:eastAsia="zh-CN"/>
        </w:rPr>
        <w:t>年</w:t>
      </w:r>
      <w:r>
        <w:rPr>
          <w:rFonts w:hint="default" w:ascii="微软雅黑" w:hAnsi="微软雅黑" w:eastAsia="微软雅黑"/>
          <w:color w:val="454545"/>
          <w:lang w:val="en-US" w:eastAsia="zh-CN"/>
        </w:rPr>
        <w:t>6</w:t>
      </w:r>
      <w:r>
        <w:rPr>
          <w:rFonts w:hint="eastAsia" w:ascii="微软雅黑" w:hAnsi="微软雅黑" w:eastAsia="微软雅黑"/>
          <w:color w:val="454545"/>
          <w:lang w:val="en-US" w:eastAsia="zh-CN"/>
        </w:rPr>
        <w:t>月</w:t>
      </w:r>
      <w:r>
        <w:rPr>
          <w:rFonts w:hint="default" w:ascii="微软雅黑" w:hAnsi="微软雅黑" w:eastAsia="微软雅黑"/>
          <w:color w:val="454545"/>
          <w:lang w:val="en-US" w:eastAsia="zh-CN"/>
        </w:rPr>
        <w:t>29</w:t>
      </w:r>
      <w:r>
        <w:rPr>
          <w:rFonts w:hint="eastAsia" w:ascii="微软雅黑" w:hAnsi="微软雅黑" w:eastAsia="微软雅黑"/>
          <w:color w:val="454545"/>
          <w:lang w:val="en-US" w:eastAsia="zh-CN"/>
        </w:rPr>
        <w:t>日第九届全国人民代表大会常务委员会第二十八次会议通过根据</w:t>
      </w:r>
      <w:r>
        <w:rPr>
          <w:rFonts w:hint="default" w:ascii="微软雅黑" w:hAnsi="微软雅黑" w:eastAsia="微软雅黑"/>
          <w:color w:val="454545"/>
          <w:lang w:val="en-US" w:eastAsia="zh-CN"/>
        </w:rPr>
        <w:t>2009</w:t>
      </w:r>
      <w:r>
        <w:rPr>
          <w:rFonts w:hint="eastAsia" w:ascii="微软雅黑" w:hAnsi="微软雅黑" w:eastAsia="微软雅黑"/>
          <w:color w:val="454545"/>
          <w:lang w:val="en-US" w:eastAsia="zh-CN"/>
        </w:rPr>
        <w:t>年</w:t>
      </w:r>
      <w:r>
        <w:rPr>
          <w:rFonts w:hint="default" w:ascii="微软雅黑" w:hAnsi="微软雅黑" w:eastAsia="微软雅黑"/>
          <w:color w:val="454545"/>
          <w:lang w:val="en-US" w:eastAsia="zh-CN"/>
        </w:rPr>
        <w:t>8</w:t>
      </w:r>
      <w:r>
        <w:rPr>
          <w:rFonts w:hint="eastAsia" w:ascii="微软雅黑" w:hAnsi="微软雅黑" w:eastAsia="微软雅黑"/>
          <w:color w:val="454545"/>
          <w:lang w:val="en-US" w:eastAsia="zh-CN"/>
        </w:rPr>
        <w:t>月</w:t>
      </w:r>
      <w:r>
        <w:rPr>
          <w:rFonts w:hint="default" w:ascii="微软雅黑" w:hAnsi="微软雅黑" w:eastAsia="微软雅黑"/>
          <w:color w:val="454545"/>
          <w:lang w:val="en-US" w:eastAsia="zh-CN"/>
        </w:rPr>
        <w:t>27</w:t>
      </w:r>
      <w:r>
        <w:rPr>
          <w:rFonts w:hint="eastAsia" w:ascii="微软雅黑" w:hAnsi="微软雅黑" w:eastAsia="微软雅黑"/>
          <w:color w:val="454545"/>
          <w:lang w:val="en-US" w:eastAsia="zh-CN"/>
        </w:rPr>
        <w:t>日第十一届全国人民代表大会常务委员会第十次会议《关于修改部分法律的决定》第一次修正根据</w:t>
      </w:r>
      <w:r>
        <w:rPr>
          <w:rFonts w:hint="default" w:ascii="微软雅黑" w:hAnsi="微软雅黑" w:eastAsia="微软雅黑"/>
          <w:color w:val="454545"/>
          <w:lang w:val="en-US" w:eastAsia="zh-CN"/>
        </w:rPr>
        <w:t>2014</w:t>
      </w:r>
      <w:r>
        <w:rPr>
          <w:rFonts w:hint="eastAsia" w:ascii="微软雅黑" w:hAnsi="微软雅黑" w:eastAsia="微软雅黑"/>
          <w:color w:val="454545"/>
          <w:lang w:val="en-US" w:eastAsia="zh-CN"/>
        </w:rPr>
        <w:t>年</w:t>
      </w:r>
      <w:r>
        <w:rPr>
          <w:rFonts w:hint="default" w:ascii="微软雅黑" w:hAnsi="微软雅黑" w:eastAsia="微软雅黑"/>
          <w:color w:val="454545"/>
          <w:lang w:val="en-US" w:eastAsia="zh-CN"/>
        </w:rPr>
        <w:t>8</w:t>
      </w:r>
      <w:r>
        <w:rPr>
          <w:rFonts w:hint="eastAsia" w:ascii="微软雅黑" w:hAnsi="微软雅黑" w:eastAsia="微软雅黑"/>
          <w:color w:val="454545"/>
          <w:lang w:val="en-US" w:eastAsia="zh-CN"/>
        </w:rPr>
        <w:t>月</w:t>
      </w:r>
      <w:r>
        <w:rPr>
          <w:rFonts w:hint="default" w:ascii="微软雅黑" w:hAnsi="微软雅黑" w:eastAsia="微软雅黑"/>
          <w:color w:val="454545"/>
          <w:lang w:val="en-US" w:eastAsia="zh-CN"/>
        </w:rPr>
        <w:t>31</w:t>
      </w:r>
      <w:r>
        <w:rPr>
          <w:rFonts w:hint="eastAsia" w:ascii="微软雅黑" w:hAnsi="微软雅黑" w:eastAsia="微软雅黑"/>
          <w:color w:val="454545"/>
          <w:lang w:val="en-US" w:eastAsia="zh-CN"/>
        </w:rPr>
        <w:t>日第十二届全国人民代表大会常务委员会第十次会议《关于修改</w:t>
      </w:r>
      <w:r>
        <w:rPr>
          <w:rFonts w:hint="default" w:ascii="微软雅黑" w:hAnsi="微软雅黑" w:eastAsia="微软雅黑"/>
          <w:color w:val="454545"/>
          <w:lang w:val="en-US" w:eastAsia="zh-CN"/>
        </w:rPr>
        <w:t>&lt;</w:t>
      </w:r>
      <w:r>
        <w:rPr>
          <w:rFonts w:hint="eastAsia" w:ascii="微软雅黑" w:hAnsi="微软雅黑" w:eastAsia="微软雅黑"/>
          <w:color w:val="454545"/>
          <w:lang w:val="en-US" w:eastAsia="zh-CN"/>
        </w:rPr>
        <w:t>中华人民共和国安全生产法</w:t>
      </w:r>
      <w:r>
        <w:rPr>
          <w:rFonts w:hint="default" w:ascii="微软雅黑" w:hAnsi="微软雅黑" w:eastAsia="微软雅黑"/>
          <w:color w:val="454545"/>
          <w:lang w:val="en-US" w:eastAsia="zh-CN"/>
        </w:rPr>
        <w:t>&gt;</w:t>
      </w:r>
      <w:r>
        <w:rPr>
          <w:rFonts w:hint="eastAsia" w:ascii="微软雅黑" w:hAnsi="微软雅黑" w:eastAsia="微软雅黑"/>
          <w:color w:val="454545"/>
          <w:lang w:val="en-US" w:eastAsia="zh-CN"/>
        </w:rPr>
        <w:t>的决定》第二次修正根据</w:t>
      </w:r>
      <w:r>
        <w:rPr>
          <w:rFonts w:hint="default" w:ascii="微软雅黑" w:hAnsi="微软雅黑" w:eastAsia="微软雅黑"/>
          <w:color w:val="454545"/>
          <w:lang w:val="en-US" w:eastAsia="zh-CN"/>
        </w:rPr>
        <w:t>2021</w:t>
      </w:r>
      <w:r>
        <w:rPr>
          <w:rFonts w:hint="eastAsia" w:ascii="微软雅黑" w:hAnsi="微软雅黑" w:eastAsia="微软雅黑"/>
          <w:color w:val="454545"/>
          <w:lang w:val="en-US" w:eastAsia="zh-CN"/>
        </w:rPr>
        <w:t>年</w:t>
      </w:r>
      <w:r>
        <w:rPr>
          <w:rFonts w:hint="default" w:ascii="微软雅黑" w:hAnsi="微软雅黑" w:eastAsia="微软雅黑"/>
          <w:color w:val="454545"/>
          <w:lang w:val="en-US" w:eastAsia="zh-CN"/>
        </w:rPr>
        <w:t>6</w:t>
      </w:r>
      <w:r>
        <w:rPr>
          <w:rFonts w:hint="eastAsia" w:ascii="微软雅黑" w:hAnsi="微软雅黑" w:eastAsia="微软雅黑"/>
          <w:color w:val="454545"/>
          <w:lang w:val="en-US" w:eastAsia="zh-CN"/>
        </w:rPr>
        <w:t>月</w:t>
      </w:r>
      <w:r>
        <w:rPr>
          <w:rFonts w:hint="default" w:ascii="微软雅黑" w:hAnsi="微软雅黑" w:eastAsia="微软雅黑"/>
          <w:color w:val="454545"/>
          <w:lang w:val="en-US" w:eastAsia="zh-CN"/>
        </w:rPr>
        <w:t>10</w:t>
      </w:r>
      <w:r>
        <w:rPr>
          <w:rFonts w:hint="eastAsia" w:ascii="微软雅黑" w:hAnsi="微软雅黑" w:eastAsia="微软雅黑"/>
          <w:color w:val="454545"/>
          <w:lang w:val="en-US" w:eastAsia="zh-CN"/>
        </w:rPr>
        <w:t>日第十三届全国人民代表大会常务委员会第二十九次会议《关于修改</w:t>
      </w:r>
      <w:r>
        <w:rPr>
          <w:rFonts w:hint="default" w:ascii="微软雅黑" w:hAnsi="微软雅黑" w:eastAsia="微软雅黑"/>
          <w:color w:val="454545"/>
          <w:lang w:val="en-US" w:eastAsia="zh-CN"/>
        </w:rPr>
        <w:t>&lt;</w:t>
      </w:r>
      <w:r>
        <w:rPr>
          <w:rFonts w:hint="eastAsia" w:ascii="微软雅黑" w:hAnsi="微软雅黑" w:eastAsia="微软雅黑"/>
          <w:color w:val="454545"/>
          <w:lang w:val="en-US" w:eastAsia="zh-CN"/>
        </w:rPr>
        <w:t>中华人民共和国安全生产法</w:t>
      </w:r>
      <w:r>
        <w:rPr>
          <w:rFonts w:hint="default" w:ascii="微软雅黑" w:hAnsi="微软雅黑" w:eastAsia="微软雅黑"/>
          <w:color w:val="454545"/>
          <w:lang w:val="en-US" w:eastAsia="zh-CN"/>
        </w:rPr>
        <w:t>&gt;</w:t>
      </w:r>
      <w:r>
        <w:rPr>
          <w:rFonts w:hint="eastAsia" w:ascii="微软雅黑" w:hAnsi="微软雅黑" w:eastAsia="微软雅黑"/>
          <w:color w:val="454545"/>
          <w:lang w:val="en-US" w:eastAsia="zh-CN"/>
        </w:rPr>
        <w:t>的决定》第三次修正）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hint="default" w:ascii="微软雅黑" w:hAnsi="微软雅黑" w:eastAsia="微软雅黑"/>
          <w:color w:val="454545"/>
          <w:lang w:val="en-US" w:eastAsia="zh-CN"/>
        </w:rPr>
      </w:pPr>
      <w:r>
        <w:rPr>
          <w:rFonts w:hint="default" w:ascii="微软雅黑" w:hAnsi="微软雅黑" w:eastAsia="微软雅黑"/>
          <w:color w:val="454545"/>
          <w:lang w:val="en-US" w:eastAsia="zh-CN"/>
        </w:rPr>
        <w:t>目录</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微软雅黑" w:hAnsi="微软雅黑" w:eastAsia="微软雅黑"/>
          <w:color w:val="454545"/>
          <w:lang w:val="en-US" w:eastAsia="zh-CN"/>
        </w:rPr>
      </w:pPr>
      <w:r>
        <w:rPr>
          <w:rFonts w:hint="default" w:ascii="微软雅黑" w:hAnsi="微软雅黑" w:eastAsia="微软雅黑"/>
          <w:color w:val="454545"/>
          <w:lang w:val="en-US" w:eastAsia="zh-CN"/>
        </w:rPr>
        <w:t>第一章</w:t>
      </w:r>
      <w:r>
        <w:rPr>
          <w:rFonts w:hint="eastAsia" w:ascii="微软雅黑" w:hAnsi="微软雅黑" w:eastAsia="微软雅黑"/>
          <w:color w:val="454545"/>
          <w:lang w:val="en-US" w:eastAsia="zh-CN"/>
        </w:rPr>
        <w:t xml:space="preserve">  </w:t>
      </w:r>
      <w:r>
        <w:rPr>
          <w:rFonts w:hint="default" w:ascii="微软雅黑" w:hAnsi="微软雅黑" w:eastAsia="微软雅黑"/>
          <w:color w:val="454545"/>
          <w:lang w:val="en-US" w:eastAsia="zh-CN"/>
        </w:rPr>
        <w:t>总则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微软雅黑" w:hAnsi="微软雅黑" w:eastAsia="微软雅黑"/>
          <w:color w:val="454545"/>
          <w:lang w:val="en-US" w:eastAsia="zh-CN"/>
        </w:rPr>
      </w:pPr>
      <w:r>
        <w:rPr>
          <w:rFonts w:hint="default" w:ascii="微软雅黑" w:hAnsi="微软雅黑" w:eastAsia="微软雅黑"/>
          <w:color w:val="454545"/>
          <w:lang w:val="en-US" w:eastAsia="zh-CN"/>
        </w:rPr>
        <w:t>第二章</w:t>
      </w:r>
      <w:r>
        <w:rPr>
          <w:rFonts w:hint="eastAsia" w:ascii="微软雅黑" w:hAnsi="微软雅黑" w:eastAsia="微软雅黑"/>
          <w:color w:val="454545"/>
          <w:lang w:val="en-US" w:eastAsia="zh-CN"/>
        </w:rPr>
        <w:t xml:space="preserve">  </w:t>
      </w:r>
      <w:r>
        <w:rPr>
          <w:rFonts w:hint="default" w:ascii="微软雅黑" w:hAnsi="微软雅黑" w:eastAsia="微软雅黑"/>
          <w:color w:val="454545"/>
          <w:lang w:val="en-US" w:eastAsia="zh-CN"/>
        </w:rPr>
        <w:t>生产经营单位的安全生产保障</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微软雅黑" w:hAnsi="微软雅黑" w:eastAsia="微软雅黑"/>
          <w:color w:val="454545"/>
          <w:lang w:val="en-US" w:eastAsia="zh-CN"/>
        </w:rPr>
      </w:pPr>
      <w:r>
        <w:rPr>
          <w:rFonts w:hint="default" w:ascii="微软雅黑" w:hAnsi="微软雅黑" w:eastAsia="微软雅黑"/>
          <w:color w:val="454545"/>
          <w:lang w:val="en-US" w:eastAsia="zh-CN"/>
        </w:rPr>
        <w:t>第三章</w:t>
      </w:r>
      <w:r>
        <w:rPr>
          <w:rFonts w:hint="eastAsia" w:ascii="微软雅黑" w:hAnsi="微软雅黑" w:eastAsia="微软雅黑"/>
          <w:color w:val="454545"/>
          <w:lang w:val="en-US" w:eastAsia="zh-CN"/>
        </w:rPr>
        <w:t xml:space="preserve">  </w:t>
      </w:r>
      <w:r>
        <w:rPr>
          <w:rFonts w:hint="default" w:ascii="微软雅黑" w:hAnsi="微软雅黑" w:eastAsia="微软雅黑"/>
          <w:color w:val="454545"/>
          <w:lang w:val="en-US" w:eastAsia="zh-CN"/>
        </w:rPr>
        <w:t>从业人员的安全生产权利义务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微软雅黑" w:hAnsi="微软雅黑" w:eastAsia="微软雅黑"/>
          <w:color w:val="454545"/>
          <w:lang w:val="en-US" w:eastAsia="zh-CN"/>
        </w:rPr>
      </w:pPr>
      <w:r>
        <w:rPr>
          <w:rFonts w:hint="default" w:ascii="微软雅黑" w:hAnsi="微软雅黑" w:eastAsia="微软雅黑"/>
          <w:color w:val="454545"/>
          <w:lang w:val="en-US" w:eastAsia="zh-CN"/>
        </w:rPr>
        <w:t>第四章</w:t>
      </w:r>
      <w:r>
        <w:rPr>
          <w:rFonts w:hint="eastAsia" w:ascii="微软雅黑" w:hAnsi="微软雅黑" w:eastAsia="微软雅黑"/>
          <w:color w:val="454545"/>
          <w:lang w:val="en-US" w:eastAsia="zh-CN"/>
        </w:rPr>
        <w:t xml:space="preserve">  </w:t>
      </w:r>
      <w:r>
        <w:rPr>
          <w:rFonts w:hint="default" w:ascii="微软雅黑" w:hAnsi="微软雅黑" w:eastAsia="微软雅黑"/>
          <w:color w:val="454545"/>
          <w:lang w:val="en-US" w:eastAsia="zh-CN"/>
        </w:rPr>
        <w:t>安全生产的监督管理</w:t>
      </w:r>
      <w:bookmarkStart w:id="0" w:name="_GoBack"/>
      <w:bookmarkEnd w:id="0"/>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微软雅黑" w:hAnsi="微软雅黑" w:eastAsia="微软雅黑"/>
          <w:color w:val="454545"/>
          <w:lang w:val="en-US" w:eastAsia="zh-CN"/>
        </w:rPr>
      </w:pPr>
      <w:r>
        <w:rPr>
          <w:rFonts w:hint="default" w:ascii="微软雅黑" w:hAnsi="微软雅黑" w:eastAsia="微软雅黑"/>
          <w:color w:val="454545"/>
          <w:lang w:val="en-US" w:eastAsia="zh-CN"/>
        </w:rPr>
        <w:t>第五章</w:t>
      </w:r>
      <w:r>
        <w:rPr>
          <w:rFonts w:hint="eastAsia" w:ascii="微软雅黑" w:hAnsi="微软雅黑" w:eastAsia="微软雅黑"/>
          <w:color w:val="454545"/>
          <w:lang w:val="en-US" w:eastAsia="zh-CN"/>
        </w:rPr>
        <w:t xml:space="preserve">  </w:t>
      </w:r>
      <w:r>
        <w:rPr>
          <w:rFonts w:hint="default" w:ascii="微软雅黑" w:hAnsi="微软雅黑" w:eastAsia="微软雅黑"/>
          <w:color w:val="454545"/>
          <w:lang w:val="en-US" w:eastAsia="zh-CN"/>
        </w:rPr>
        <w:t>生产安全事故的应急救援与调查处理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微软雅黑" w:hAnsi="微软雅黑" w:eastAsia="微软雅黑"/>
          <w:color w:val="454545"/>
          <w:lang w:val="en-US" w:eastAsia="zh-CN"/>
        </w:rPr>
      </w:pPr>
      <w:r>
        <w:rPr>
          <w:rFonts w:hint="default" w:ascii="微软雅黑" w:hAnsi="微软雅黑" w:eastAsia="微软雅黑"/>
          <w:color w:val="454545"/>
          <w:lang w:val="en-US" w:eastAsia="zh-CN"/>
        </w:rPr>
        <w:t>第六章</w:t>
      </w:r>
      <w:r>
        <w:rPr>
          <w:rFonts w:hint="eastAsia" w:ascii="微软雅黑" w:hAnsi="微软雅黑" w:eastAsia="微软雅黑"/>
          <w:color w:val="454545"/>
          <w:lang w:val="en-US" w:eastAsia="zh-CN"/>
        </w:rPr>
        <w:t xml:space="preserve">  </w:t>
      </w:r>
      <w:r>
        <w:rPr>
          <w:rFonts w:hint="default" w:ascii="微软雅黑" w:hAnsi="微软雅黑" w:eastAsia="微软雅黑"/>
          <w:color w:val="454545"/>
          <w:lang w:val="en-US" w:eastAsia="zh-CN"/>
        </w:rPr>
        <w:t>法律责任2</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微软雅黑" w:hAnsi="微软雅黑" w:eastAsia="微软雅黑"/>
          <w:color w:val="454545"/>
          <w:lang w:val="en-US" w:eastAsia="zh-CN"/>
        </w:rPr>
      </w:pPr>
      <w:r>
        <w:rPr>
          <w:rFonts w:hint="default" w:ascii="微软雅黑" w:hAnsi="微软雅黑" w:eastAsia="微软雅黑"/>
          <w:color w:val="454545"/>
          <w:lang w:val="en-US" w:eastAsia="zh-CN"/>
        </w:rPr>
        <w:t>第七章</w:t>
      </w:r>
      <w:r>
        <w:rPr>
          <w:rFonts w:hint="eastAsia" w:ascii="微软雅黑" w:hAnsi="微软雅黑" w:eastAsia="微软雅黑"/>
          <w:color w:val="454545"/>
          <w:lang w:val="en-US" w:eastAsia="zh-CN"/>
        </w:rPr>
        <w:t xml:space="preserve">  </w:t>
      </w:r>
      <w:r>
        <w:rPr>
          <w:rFonts w:hint="default" w:ascii="微软雅黑" w:hAnsi="微软雅黑" w:eastAsia="微软雅黑"/>
          <w:color w:val="454545"/>
          <w:lang w:val="en-US" w:eastAsia="zh-CN"/>
        </w:rPr>
        <w:t>附则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ascii="微软雅黑" w:hAnsi="微软雅黑" w:eastAsia="微软雅黑"/>
          <w:b/>
          <w:bCs/>
          <w:color w:val="454545"/>
        </w:rPr>
      </w:pPr>
      <w:r>
        <w:rPr>
          <w:rFonts w:hint="eastAsia" w:ascii="微软雅黑" w:hAnsi="微软雅黑" w:eastAsia="微软雅黑"/>
          <w:b/>
          <w:bCs/>
          <w:color w:val="454545"/>
        </w:rPr>
        <w:t>第一章 总则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第一条　为了加强安全生产工作，防止和减少生产安全事故，保障人民群众生命和财产安全，促进经济社会持续健康发展，制定本法。</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第三条　安全生产工作坚持中国共产党的领导。</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安全生产工作应当以人为本，坚持人民至上、生命至上，把保护人民生命安全摆在首位，树牢安全发展理念，坚持安全第一、预防为主、综合治理的方针，从源头上防范化解重大安全风险。</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第五条　生产经营单位的主要负责人是本单位安全生产第一责任人，对本单位的安全生产工作全面负责。其他负责人对职责范围内的安全生产工作负责。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第六条　生产经营单位的从业人员有依法获得安全生产保障的权利，并应当依法履行安全生产方面的义务。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第七条　工会依法对安全生产工作进行监督。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第八条　国务院和县级以上地方各级人民政府应当根据国民经济和社会发展规划制定安全生产规划，并组织实施。安全生产规划应当与国土空间规划等相关规划相衔接。</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各级人民政府应当加强安全生产基础设施建设和安全生产监管能力建设，所需经费列入本级预算。</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第十条　国务院应急管理部门依照本法，对全国安全生产工作实施综合监督管理；县级以上地方各级人民政府应急管理部门依照本法，对本行政区域内安全生产工作实施综合监督管理。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第十一条　国务院有关部门应当按照保障安全生产的要求，依法及时制定有关的国家标准或者行业标准，并根据科技进步和经济发展适时修订。</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生产经营单位必须执行依法制定的保障安全生产的国家标准或者行业标准。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第十三条　各级人民政府及其有关部门应当采取多种形式，加强对有关安全生产的法律、法规和安全生产知识的宣传，增强全社会的安全生产意识。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第十四条　有关协会组织依照法律、行政法规和章程，为生产经营单位提供安全生产方面的信息、培训等服务，发挥自律作用，促进生产经营单位加强安全生产管理。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第十五条　依法设立的为安全生产提供技术、管理服务的机构，依照法律、行政法规和执业准则，接受生产经营单位的委托为其安全生产工作提供技术、管理服务。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生产经营单位委托前款规定的机构提供安全生产技术、管理服务的，保证安全生产的责任仍由本单位负责。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第十六条　国家实行生产安全事故责任追究制度，依照本法和有关法律、法规的规定，追究生产安全事故责任单位和责任人员的法律责任。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第十七条　县级以上各级人民政府应当组织负有安全生产监督管理职责的部门依法编制安全生产权力和责任清单，公开并接受社会监督。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第十八条　国家鼓励和支持安全生产科学技术研究和安全生产先进技术的推广应用，提高安全生产水平。</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第十九条　国家对在改善安全生产条件、防止生产安全事故、参加抢险救护等方面取得显著成绩的单位和个人，给予奖励。</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hint="eastAsia" w:ascii="微软雅黑" w:hAnsi="微软雅黑" w:eastAsia="微软雅黑"/>
          <w:b/>
          <w:bCs/>
          <w:color w:val="454545"/>
        </w:rPr>
      </w:pPr>
      <w:r>
        <w:rPr>
          <w:rFonts w:hint="eastAsia" w:ascii="微软雅黑" w:hAnsi="微软雅黑" w:eastAsia="微软雅黑"/>
          <w:b/>
          <w:bCs/>
          <w:color w:val="454545"/>
        </w:rPr>
        <w:t>第二章　生产经营单位的安全生产保障</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第二十条　生产经营单位应当具备本法和有关法律、行政法规和国家标准或者行业标准规定的安全生产条件；不具备安全生产条件的，不得从事生产经营活动。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第二十一条　生产经营单位的主要负责人对本单位安全生产工作负有下列职责: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（一）建立健全并落实本单位全员安全生产责任制，加强安全生产标准化建设；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（二）组织制定并实施本单位安全生产规章制度和操作规程；</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（三）组织制定并实施本单位安全生产教育和培训计划；</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（四）保证本单位安全生产投入的有效实施；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（五）组织建立并落实安全风险分级管控和隐患排查治理双重预防工作机制，督促、检查本单位的安全生产工作，及时消除生产安全事故隐患；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（六）组织制定并实施本单位的生产安全事故应急救援预案；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（七）及时、如实报告生产安全事故。</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第二十二条　生产经营单位的全员安全生产责任制应当明确各岗位的责任人员、责任范围和考核标准等内容。</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生产经营单位应当建立相应的机制，加强对全员安全生产责任制落实情况的监督考核，保证全员安全生产责任制的落实。</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第二十四条　矿山、金属冶炼、建筑施工、运输单位和危险物品的生产、经营、储存、装卸单位，应当设置安全生产管理机构或者配备专职安全生产管理人员。</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第二十五条　生产经营单位的安全生产管理机构以及安全生产管理人员履行下列职责: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（一）组织或者参与拟订本单位安全生产规章制度、操作规程和生产安全事故应急救援预案；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（二）组织或者参与本单位安全生产教育和培训，如实记录安全生产教育和培训情况；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（三）组织开展危险源辨识和评估，督促落实本单位重大危险源的安全管理措施；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（四）组织或者参与本单位应急救援演练；</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（五）检查本单位的安全生产状况，及时排查生产安全事故隐患，提出改进安全生产管理的建议；</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（六）制止和纠正违章指挥、强令冒险作业、违反操作规程的行为；</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（七）督促落实本单位安全生产整改措施。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生产经营单位可以设置专职安全生产分管负责人，协助本单位主要负责人履行安全生产管理职责。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第二十六条　生产经营单位的安全生产管理机构以及安全生产管理人员应当恪尽职守，依法履行职责。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生产经营单位作出涉及安全生产的经营决策，应当听取安全生产管理机构以及安全生产管理人员的意见。</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生产经营单位不得因安全生产管理人员依法履行职责而降低其工资、福利等待遇或者解除与其订立的劳动合同。</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危险物品的生产、储存单位以及矿山、金属冶炼单位的安全生产管理人员的任免，应当告知主管的负有安全生产监督管理职责的部门。</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第二十七条　生产经营单位的主要负责人和安全生产管理人员必须具备与本单位所从事的生产经营活动相应的安全生产知识和管理能力。</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生产经营单位应当建立安全生产教育和培训档案，如实记录安全生产教育和培训的时间、内容、参加人员以及考核结果等情况。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第二十九条　生产经营单位采用新工艺、新技术、新材料或者使用新设备，必须了解、掌握其安全技术特性，采取有效的安全防护措施，并对从业人员进行专门的安全生产教育和培训。</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第三十条　生产经营单位的特种作业人员必须按照国家有关规定经专门的安全作业培训，取得相应资格，方可上岗作业。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特种作业人员的范围由国务院应急管理部门会同国务院有关部门确定。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第三十一条　生产经营单位新建、改建、扩建工程项目（以下统称建设项目）的安全设施，必须与主体工程同时设计、同时施工、同时投入生产和使用。安全设施投资应当纳入建设项目概算。</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第三十二条　矿山、金属冶炼建设项目和用于生产、储存、装卸危险物品的建设项目，应当按照国家有关规定进行安全评价。</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第三十三条　建设项目安全设施的设计人、设计单位应当对安全设施设计负责。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矿山、金属冶炼建设项目和用于生产、储存、装卸危险物品的建设项目的安全设施设计应当按照国家有关规定报经有关部门审查，审查部门及其负责审查的人员对审查结果负责。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第三十四条　矿山、金属冶炼建设项目和用于生产、储存、装卸危险物品的建设项目的施工单位必须按照批准的安全设施设计施工，并对安全设施的工程质量负责。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第三十五条　生产经营单位应当在有较大危险因素的生产经营场所和有关设施、设备上，设置明显的安全警示标志。</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第三十六条　安全设备的设计、制造、安装、使用、检测、维修、改造和报废，应当符合国家标准或者行业标准。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生产经营单位必须对安全设备进行经常性维护、保养，并定期检测，保证正常运转。维护、保养、检测应当作好记录，并由有关人员签字。</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生产经营单位不得关闭、破坏直接关系生产安全的监控、报警、防护、救生设备、设施，或者篡改、隐瞒、销毁其相关数据、信息。</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餐饮等行业的生产经营单位使用燃气的，应当安装可燃气体报警装置，并保障其正常使用。</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第三十八条　国家对严重危及生产安全的工艺、设备实行淘汰制度，具体目录由国务院应急管理部门会同国务院有关部门制定并公布。法律、行政法规对目录的制定另有规定的，适用其规定。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省、自治区、直辖市人民政府可以根据本地区实际情况制定并公布具体目录，对前款规定以外的危及生产安全的工艺、设备予以淘汰。</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生产经营单位不得使用应当淘汰的危及生产安全的工艺、设备。</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第三十九条　生产、经营、运输、储存、使用危险物品或者处置废弃危险物品的，由有关主管部门依照有关法律、法规的规定和国家标准或者行业标准审批并实施监督管理。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第四十条　生产经营单位对重大危险源应当登记建档，进行定期检测、评估、监控，并制定应急预案，告知从业人员和相关人员在紧急情况下应当采取的应急措施。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第四十一条　生产经营单位应当建立安全风险分级管控制度，按照安全风险分级采取相应的管控措施。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县级以上地方各级人民政府负有安全生产监督管理职责的部门应当将重大事故隐患纳入相关信息系统，建立健全重大事故隐患治理督办制度，督促生产经营单位消除重大事故隐患。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第四十二条　生产、经营、储存、使用危险物品的车间、商店、仓库不得与员工宿舍在同一座建筑物内，并应当与员工宿舍保持安全距离。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生产经营场所和员工宿舍应当设有符合紧急疏散要求、标志明显、保持畅通的出口、疏散通道。禁止占用、锁闭、封堵生产经营场所或者员工宿舍的出口、疏散通道。</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生产经营单位应当关注从业人员的身体、心理状况和行为习惯，加强对从业人员的心理疏导、精神慰藉，严格落实岗位安全生产责任，防范从业人员行为异常导致事故发生。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第四十五条　生产经营单位必须为从业人员提供符合国家标准或者行业标准的劳动防护用品，并监督、教育从业人员按照使用规则佩戴、使用。</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第四十七条　生产经营单位应当安排用于配备劳动防护用品、进行安全生产培训的经费。</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第四十九条　生产经营单位不得将生产经营项目、场所、设备发包或者出租给不具备安全生产条件或者相应资质的单位或者个人。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第五十条　生产经营单位发生生产安全事故时，单位的主要负责人应当立即组织抢救，并不得在事故调查处理期间擅离职守。</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第五十一条　生产经营单位必须依法参加工伤保险，为从业人员缴纳保险费。</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hint="eastAsia" w:ascii="微软雅黑" w:hAnsi="微软雅黑" w:eastAsia="微软雅黑"/>
          <w:color w:val="454545"/>
        </w:rPr>
      </w:pPr>
      <w:r>
        <w:rPr>
          <w:rFonts w:hint="eastAsia" w:ascii="微软雅黑" w:hAnsi="微软雅黑" w:eastAsia="微软雅黑"/>
          <w:b/>
          <w:bCs/>
          <w:color w:val="454545"/>
        </w:rPr>
        <w:t>第三章　从业人员的安全生产权利义务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第五十二条　生产经营单位与从业人员订立的劳动合同，应当载明有关保障从业人员劳动安全、防止职业危害的事项，以及依法为从业人员办理工伤保险的事项。</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生产经营单位不得以任何形式与从业人员订立协议，免除或者减轻其对从业人员因生产安全事故伤亡依法应承担的责任。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第五十三条　生产经营单位的从业人员有权了解其作业场所和工作岗位存在的危险因素、防范措施及事故应急措施，有权对本单位的安全生产工作提出建议。</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第五十四条　从业人员有权对本单位安全生产工作中存在的问题提出批评、检举、控告；有权拒绝违章指挥和强令冒险作业。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生产经营单位不得因从业人员对本单位安全生产工作提出批评、检举、控告或者拒绝违章指挥、强令冒险作业而降低其工资、福利等待遇或者解除与其订立的劳动合同。</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第五十五条　从业人员发现直接危及人身安全的紧急情况时，有权停止作业或者在采取可能的应急措施后撤离作业场所。</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生产经营单位不得因从业人员在前款紧急情况下停止作业或者采取紧急撤离措施而降低其工资、福利等待遇或者解除与其订立的劳动合同。</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第五十六条　生产经营单位发生生产安全事故后，应当及时采取措施救治有关人员。</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因生产安全事故受到损害的从业人员，除依法享有工伤保险外，依照有关民事法律尚有获得赔偿的权利的，有权提出赔偿要求。</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第五十七条　从业人员在作业过程中，应当严格落实岗位安全责任，遵守本单位的安全生产规章制度和操作规程，服从管理，正确佩戴和使用劳动防护用品。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第五十八条　从业人员应当接受安全生产教育和培训，掌握本职工作所需的安全生产知识，提高安全生产技能，增强事故预防和应急处理能力。</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第五十九条　从业人员发现事故隐患或者其他不安全因素，应当立即向现场安全生产管理人员或者本单位负责人报告；接到报告的人员应当及时予以处理。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第六十条　工会有权对建设项目的安全设施与主体工程同时设计、同时施工、同时投入生产和使用进行监督，提出意见。</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工会有权依法参加事故调查，向有关部门提出处理意见，并要求追究有关人员的责任。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第六十一条　生产经营单位使用被派遣劳动者的，被派遣劳动者享有本法规定的从业人员的权利，并应当履行本法规定的从业人员的义务。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hint="eastAsia" w:ascii="微软雅黑" w:hAnsi="微软雅黑" w:eastAsia="微软雅黑"/>
          <w:b/>
          <w:bCs/>
          <w:color w:val="454545"/>
        </w:rPr>
      </w:pPr>
      <w:r>
        <w:rPr>
          <w:rFonts w:hint="eastAsia" w:ascii="微软雅黑" w:hAnsi="微软雅黑" w:eastAsia="微软雅黑"/>
          <w:b/>
          <w:bCs/>
          <w:color w:val="454545"/>
        </w:rPr>
        <w:t>第四章　安全生产的监督管理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第六十二条　县级以上地方各级人民政府应当根据本行政区域内的安全生产状况，组织有关部门按照职责分工，对本行政区域内容易发生重大生产安全事故的生产经营单位进行严格检查。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应急管理部门应当按照分类分级监督管理的要求，制定安全生产年度监督检查计划，并按照年度监督检查计划进行监督检查，发现事故隐患，应当及时处理。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（一）进入生产经营单位进行检查，调阅有关资料，向有关单位和人员了解情况；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（二）对检查中发现的安全生产违法行为，当场予以纠正或者要求限期改正；对依法应当给予行政处罚的行为，依照本法和其他有关法律、行政法规的规定作出行政处罚决定；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监督检查不得影响被检查单位的正常生产经营活动。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第六十六条　生产经营单位对负有安全生产监督管理职责的部门的监督检查人员（以下统称安全生产监督检查人员）依法履行监督检查职责，应当予以配合，不得拒绝、阻挠。</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第六十七条　安全生产监督检查人员应当忠于职守，坚持原则，秉公执法。</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安全生产监督检查人员执行监督检查任务时，必须出示有效的行政执法证件；对涉及被检查单位的技术秘密和业务秘密，应当为其保密。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第七十一条　监察机关依照监察法的规定，对负有安全生产监督管理职责的部门及其工作人员履行安全生产监督管理职责实施监察。</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承担安全评价、认证、检测、检验职责的机构应当建立并实施服务公开和报告公开制度，不得租借资质、挂靠、出具虚假报告。</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涉及人员死亡的举报事项，应当由县级以上人民政府组织核查处理。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第七十四条　任何单位或者个人对事故隐患或者安全生产违法行为，均有权向负有安全生产监督管理职责的部门报告或者举报。</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因安全生产违法行为造成重大事故隐患或者导致重大事故，致使国家利益或者社会公共利益受到侵害的，人民检察院可以根据民事诉讼法、行政诉讼法的相关规定提起公益诉讼。</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第七十五条　居民委员会、村民委员会发现其所在区域内的生产经营单位存在事故隐患或者安全生产违法行为时，应当向当地人民政府或者有关部门报告。</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第七十六条　县级以上各级人民政府及其有关部门对报告重大事故隐患或者举报安全生产违法行为的有功人员，给予奖励。具体奖励办法由国务院应急管理部门会同国务院财政部门制定。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第七十七条　新闻、出版、广播、电影、电视等单位有进行安全生产公益宣传教育的义务，有对违反安全生产法律、法规的行为进行舆论监督的权利。</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hint="eastAsia" w:ascii="微软雅黑" w:hAnsi="微软雅黑" w:eastAsia="微软雅黑"/>
          <w:color w:val="454545"/>
        </w:rPr>
      </w:pPr>
      <w:r>
        <w:rPr>
          <w:rFonts w:hint="eastAsia" w:ascii="微软雅黑" w:hAnsi="微软雅黑" w:eastAsia="微软雅黑"/>
          <w:b/>
          <w:bCs/>
          <w:color w:val="454545"/>
        </w:rPr>
        <w:t>第五章　生产安全事故的应急救援与调查处理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第八十条　县级以上地方各级人民政府应当组织有关部门制定本行政区域内生产安全事故应急救援预案，建立应急救援体系。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乡镇人民政府和街道办事处，以及开发区、工业园区、港区、风景区等应当制定相应的生产安全事故应急救援预案，协助人民政府有关部门或者按照授权依法履行生产安全事故应急救援工作职责。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第八十一条　生产经营单位应当制定本单位生产安全事故应急救援预案，与所在地县级以上地方人民政府组织制定的生产安全事故应急救援预案相衔接，并定期组织演练。</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危险物品的生产、经营、储存、运输单位以及矿山、金属冶炼、城市轨道交通运营、建筑施工单位应当配备必要的应急救援器材、设备和物资，并进行经常性维护、保养，保证正常运转。</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第八十三条　生产经营单位发生生产安全事故后，事故现场有关人员应当立即报告本单位负责人。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第八十五条　有关地方人民政府和负有安全生产监督管理职责的部门的负责人接到生产安全事故报告后，应当按照生产安全事故应急救援预案的要求立即赶到事故现场，组织事故抢救。</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事故抢救过程中应当采取必要措施，避免或者减少对环境造成的危害。</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任何单位和个人都应当支持、配合事故抢救，并提供一切便利条件。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事故发生单位应当及时全面落实整改措施，负有安全生产监督管理职责的部门应当加强监督检查。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第八十八条　任何单位和个人不得阻挠和干涉对事故的依法调查处理。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第八十九条　县级以上地方各级人民政府应急管理部门应当定期统计分析本行政区域内发生生产安全事故的情况，并定期向社会公布。</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hint="eastAsia" w:ascii="微软雅黑" w:hAnsi="微软雅黑" w:eastAsia="微软雅黑"/>
          <w:b/>
          <w:bCs/>
          <w:color w:val="454545"/>
        </w:rPr>
      </w:pPr>
      <w:r>
        <w:rPr>
          <w:rFonts w:hint="eastAsia" w:ascii="微软雅黑" w:hAnsi="微软雅黑" w:eastAsia="微软雅黑"/>
          <w:b/>
          <w:bCs/>
          <w:color w:val="454545"/>
        </w:rPr>
        <w:t>第六章　法律责任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第九十条　负有安全生产监督管理职责的部门的工作人员，有下列行为之一的，给予降级或者撤职的处分；构成犯罪的，依照刑法有关规定追究刑事责任: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（一）对不符合法定安全生产条件的涉及安全生产的事项予以批准或者验收通过的；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（二）发现未依法取得批准、验收的单位擅自从事有关活动或者接到举报后不予取缔或者不依法予以处理的；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（三）对已经依法取得批准的单位不履行监督管理职责，发现其不再具备安全生产条件而不撤销原批准或者发现安全生产违法行为不予查处的；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（四）在监督检查中发现重大事故隐患，不依法及时处理的。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负有安全生产监督管理职责的部门的工作人员有前款规定以外的滥用职权、玩忽职守、徇私舞弊行为的，依法给予处分；构成犯罪的，依照刑法有关规定追究刑事责任。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第九十二条　承担安全评价、认证、检测、检验职责的机构出具失实报告的，责令停业整顿，并处三万元以上十万元以下的罚款；给他人造成损害的，依法承担赔偿责任。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对有前款违法行为的机构及其直接责任人员，吊销其相应资质和资格，五年内不得从事安全评价、认证、检测、检验等工作；情节严重的，实行终身行业和职业禁入。</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有前款违法行为，导致发生生产安全事故的，对生产经营单位的主要负责人给予撤职处分，对个人经营的投资人处二万元以上二十万元以下的罚款；构成犯罪的，依照刑法有关规定追究刑事责任。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生产经营单位的主要负责人有前款违法行为，导致发生生产安全事故的，给予撤职处分；构成犯罪的，依照刑法有关规定追究刑事责任。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第九十五条　生产经营单位的主要负责人未履行本法规定的安全生产管理职责，导致发生生产安全事故的，由应急管理部门依照下列规定处以罚款: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（一）发生一般事故的，处上一年年收入百分之四十的罚款；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（二）发生较大事故的，处上一年年收入百分之六十的罚款；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（三）发生重大事故的，处上一年年收入百分之八十的罚款；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（四）发生特别重大事故的，处上一年年收入百分之一百的罚款。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（一）未按照规定设置安全生产管理机构或者配备安全生产管理人员、注册安全工程师的；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（二）危险物品的生产、经营、储存、装卸单位以及矿山、金属冶炼、建筑施工、运输单位的主要负责人和安全生产管理人员未按照规定经考核合格的；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（三）未按照规定对从业人员、被派遣劳动者、实习学生进行安全生产教育和培训，或者未按照规定如实告知有关的安全生产事项的；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（四）未如实记录安全生产教育和培训情况的；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（五）未将事故隐患排查治理情况如实记录或者未向从业人员通报的；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（六）未按照规定制定生产安全事故应急救援预案或者未定期组织演练的；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（七）特种作业人员未按照规定经专门的安全作业培训并取得相应资格，上岗作业的。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（一）未按照规定对矿山、金属冶炼建设项目或者用于生产、储存、装卸危险物品的建设项目进行安全评价的；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（二）矿山、金属冶炼建设项目或者用于生产、储存、装卸危险物品的建设项目没有安全设施设计或者安全设施设计未按照规定报经有关部门审查同意的；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（三）矿山、金属冶炼建设项目或者用于生产、储存、装卸危险物品的建设项目的施工单位未按照批准的安全设施设计施工的；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（四）矿山、金属冶炼建设项目或者用于生产、储存、装卸危险物品的建设项目竣工投入生产或者使用前，安全设施未经验收合格的。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（一）未在有较大危险因素的生产经营场所和有关设施、设备上设置明显的安全警示标志的；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（二）安全设备的安装、使用、检测、改造和报废不符合国家标准或者行业标准的；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（三）未对安全设备进行经常性维护、保养和定期检测的；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（四）关闭、破坏直接关系生产安全的监控、报警、防护、救生设备、设施，或者篡改、隐瞒、销毁其相关数据、信息的；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（五）未为从业人员提供符合国家标准或者行业标准的劳动防护用品的；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（六）危险物品的容器、运输工具，以及涉及人身安全、危险性较大的海洋石油开采特种设备和矿山井下特种设备未经具有专业资质的机构检测、检验合格，取得安全使用证或者安全标志，投入使用的；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（七）使用应当淘汰的危及生产安全的工艺、设备的；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（八）餐饮等行业的生产经营单位使用燃气未安装可燃气体报警装置的。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（一）生产、经营、运输、储存、使用危险物品或者处置废弃危险物品，未建立专门安全管理制度、未采取可靠的安全措施的；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（二）对重大危险源未登记建档，未进行定期检测、评估、监控，未制定应急预案，或者未告知应急措施的；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（三）进行爆破、吊装、动火、临时用电以及国务院应急管理部门会同国务院有关部门规定的其他危险作业，未安排专门人员进行现场安全管理的；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（四）未建立安全风险分级管控制度或者未按照安全风险分级采取相应管控措施的；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（五）未建立事故隐患排查治理制度，或者重大事故隐患排查治理情况未按照规定报告的。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（一）生产、经营、储存、使用危险物品的车间、商店、仓库与员工宿舍在同一座建筑内，或者与员工宿舍的距离不符合安全要求的；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（二）生产经营场所和员工宿舍未设有符合紧急疏散需要、标志明显、保持畅通的出口、疏散通道，或者占用、锁闭、封堵生产经营场所或者员工宿舍出口、疏散通道的。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第一百零九条　高危行业、领域的生产经营单位未按照国家规定投保安全生产责任保险的，责令限期改正，处五万元以上十万元以下的罚款；逾期未改正的，处十万元以上二十万元以下的罚款。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生产经营单位的主要负责人对生产安全事故隐瞒不报、谎报或者迟报的，依照前款规定处罚。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第一百一十二条　生产经营单位违反本法规定，被责令改正且受到罚款处罚，拒不改正的，负有安全生产监督管理职责的部门可以自作出责令改正之日的次日起，按照原处罚数额按日连续处罚。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（一）存在重大事故隐患，一百八十日内三次或者一年内四次受到本法规定的行政处罚的；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（二）经停产停业整顿，仍不具备法律、行政法规和国家标准或者行业标准规定的安全生产条件的；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（三）不具备法律、行政法规和国家标准或者行业标准规定的安全生产条件，导致发生重大、特别重大生产安全事故的；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（四）拒不执行负有安全生产监督管理职责的部门作出的停产停业整顿决定的。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第一百一十四条　发生生产安全事故，对负有责任的生产经营单位除要求其依法承担相应的赔偿等责任外，由应急管理部门依照下列规定处以罚款: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（一）发生一般事故的，处三十万元以上一百万元以下的罚款；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（二）发生较大事故的，处一百万元以上二百万元以下的罚款；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（三）发生重大事故的，处二百万元以上一千万元以下的罚款；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（四）发生特别重大事故的，处一千万元以上二千万元以下的罚款。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发生生产安全事故，情节特别严重、影响特别恶劣的，应急管理部门可以按照前款罚款数额的二倍以上五倍以下对负有责任的生产经营单位处以罚款。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第一百一十六条　生产经营单位发生生产安全事故造成人员伤亡、他人财产损失的，应当依法承担赔偿责任；拒不承担或者其负责人逃匿的，由人民法院依法强制执行。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hint="eastAsia" w:ascii="微软雅黑" w:hAnsi="微软雅黑" w:eastAsia="微软雅黑"/>
          <w:color w:val="454545"/>
        </w:rPr>
      </w:pPr>
      <w:r>
        <w:rPr>
          <w:rFonts w:hint="eastAsia" w:ascii="微软雅黑" w:hAnsi="微软雅黑" w:eastAsia="微软雅黑"/>
          <w:b/>
          <w:bCs/>
          <w:color w:val="454545"/>
        </w:rPr>
        <w:t>第七章　附则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第一百一十七条　本法下列用语的含义:</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危险物品，是指易燃易爆物品、危险化学品、放射性物品等能够危及人身安全和财产安全的物品。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重大危险源，是指长期地或者临时地生产、搬运、使用或者储存危险物品，且危险物品的数量等于或者超过临界量的单元（包括场所和设施）。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第一百一十八条　本法规定的生产安全一般事故、较大事故、重大事故、特别重大事故的划分标准由国务院规定。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国务院应急管理部门和其他负有安全生产监督管理职责的部门应当根据各自的职责分工，制定相关行业、领域重大危险源的辨识标准和重大事故隐患的判定标准。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olor w:val="454545"/>
        </w:rPr>
      </w:pPr>
      <w:r>
        <w:rPr>
          <w:rFonts w:hint="eastAsia" w:ascii="微软雅黑" w:hAnsi="微软雅黑" w:eastAsia="微软雅黑"/>
          <w:color w:val="454545"/>
        </w:rPr>
        <w:t>第一百一十九条　本法自2002年11月1日起施行。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4NGUwOWMxNGRkNGNlNTMzZmZlZGYxODNkZWY2ZmMifQ=="/>
  </w:docVars>
  <w:rsids>
    <w:rsidRoot w:val="003938BE"/>
    <w:rsid w:val="001766C3"/>
    <w:rsid w:val="003938BE"/>
    <w:rsid w:val="6A4E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4">
    <w:name w:val="text-t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19776</Words>
  <Characters>19799</Characters>
  <Lines>141</Lines>
  <Paragraphs>39</Paragraphs>
  <TotalTime>17</TotalTime>
  <ScaleCrop>false</ScaleCrop>
  <LinksUpToDate>false</LinksUpToDate>
  <CharactersWithSpaces>19939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2022-08-22T02:49:00Z</dcterms:created>
  <dc:creator>Administrator</dc:creator>
  <cp:lastModifiedBy>Administrator</cp:lastModifiedBy>
  <dcterms:modified xsi:type="dcterms:W3CDTF">2022-08-23T00:09:17Z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0D2899422B1348489D91F46EBFD26140</vt:lpwstr>
  </property>
</Properties>
</file>